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tblLook w:val="04A0" w:firstRow="1" w:lastRow="0" w:firstColumn="1" w:lastColumn="0" w:noHBand="0" w:noVBand="1"/>
      </w:tblPr>
      <w:tblGrid>
        <w:gridCol w:w="3794"/>
        <w:gridCol w:w="5828"/>
      </w:tblGrid>
      <w:tr w:rsidR="00D46EA1" w:rsidRPr="00D46EA1" w:rsidTr="006020D2">
        <w:trPr>
          <w:trHeight w:val="2259"/>
        </w:trPr>
        <w:tc>
          <w:tcPr>
            <w:tcW w:w="3794" w:type="dxa"/>
          </w:tcPr>
          <w:p w:rsidR="00D46EA1" w:rsidRPr="00D46EA1" w:rsidRDefault="009847A9" w:rsidP="006020D2">
            <w:pPr>
              <w:spacing w:before="120"/>
              <w:jc w:val="center"/>
              <w:rPr>
                <w:rFonts w:ascii="Times New Roman" w:eastAsiaTheme="minorEastAsia" w:hAnsi="Times New Roman" w:cs="Times New Roman"/>
                <w:b/>
                <w:bCs/>
                <w:sz w:val="26"/>
                <w:szCs w:val="26"/>
              </w:rPr>
            </w:pPr>
            <w:r w:rsidRPr="00D46EA1">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0BF654BB" wp14:editId="041D456E">
                      <wp:simplePos x="0" y="0"/>
                      <wp:positionH relativeFrom="column">
                        <wp:posOffset>714375</wp:posOffset>
                      </wp:positionH>
                      <wp:positionV relativeFrom="paragraph">
                        <wp:posOffset>350520</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27.6pt" to="11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"/>
                  </w:pict>
                </mc:Fallback>
              </mc:AlternateContent>
            </w:r>
            <w:r w:rsidR="00D46EA1" w:rsidRPr="00D46EA1">
              <w:rPr>
                <w:rFonts w:ascii="Times New Roman" w:hAnsi="Times New Roman" w:cs="Times New Roman"/>
                <w:b/>
                <w:bCs/>
                <w:sz w:val="26"/>
                <w:szCs w:val="26"/>
              </w:rPr>
              <w:t>THỦ TƯỚNG CHÍNH PHỦ</w:t>
            </w:r>
          </w:p>
          <w:p w:rsidR="00D46EA1" w:rsidRPr="00D46EA1" w:rsidRDefault="00D46EA1" w:rsidP="006020D2">
            <w:pPr>
              <w:jc w:val="center"/>
              <w:rPr>
                <w:rFonts w:ascii="Times New Roman" w:hAnsi="Times New Roman" w:cs="Times New Roman"/>
                <w:b/>
                <w:bCs/>
                <w:sz w:val="24"/>
                <w:szCs w:val="24"/>
              </w:rPr>
            </w:pPr>
          </w:p>
          <w:p w:rsidR="00D46EA1" w:rsidRPr="00D46EA1" w:rsidRDefault="00D46EA1" w:rsidP="009847A9">
            <w:pPr>
              <w:jc w:val="center"/>
              <w:rPr>
                <w:rFonts w:ascii="Times New Roman" w:eastAsiaTheme="minorEastAsia" w:hAnsi="Times New Roman" w:cs="Times New Roman"/>
                <w:b/>
                <w:bCs/>
                <w:sz w:val="28"/>
                <w:szCs w:val="28"/>
              </w:rPr>
            </w:pPr>
            <w:r w:rsidRPr="00D46EA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1FD48FA" wp14:editId="1CE58B9E">
                      <wp:simplePos x="0" y="0"/>
                      <wp:positionH relativeFrom="column">
                        <wp:posOffset>971550</wp:posOffset>
                      </wp:positionH>
                      <wp:positionV relativeFrom="paragraph">
                        <wp:posOffset>381635</wp:posOffset>
                      </wp:positionV>
                      <wp:extent cx="990600" cy="2457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45745"/>
                              </a:xfrm>
                              <a:prstGeom prst="rect">
                                <a:avLst/>
                              </a:prstGeom>
                              <a:solidFill>
                                <a:srgbClr val="FFFFFF"/>
                              </a:solidFill>
                              <a:ln w="9525">
                                <a:solidFill>
                                  <a:srgbClr val="000000"/>
                                </a:solidFill>
                                <a:miter lim="800000"/>
                                <a:headEnd/>
                                <a:tailEnd/>
                              </a:ln>
                            </wps:spPr>
                            <wps:txbx>
                              <w:txbxContent>
                                <w:p w:rsidR="00D46EA1" w:rsidRPr="009847A9" w:rsidRDefault="00D46EA1" w:rsidP="00D46EA1">
                                  <w:pPr>
                                    <w:rPr>
                                      <w:rFonts w:ascii="Times New Roman" w:hAnsi="Times New Roman" w:cs="Times New Roman"/>
                                      <w:b/>
                                      <w:sz w:val="24"/>
                                      <w:szCs w:val="24"/>
                                    </w:rPr>
                                  </w:pPr>
                                  <w:r w:rsidRPr="009847A9">
                                    <w:rPr>
                                      <w:rFonts w:ascii="Times New Roman" w:hAnsi="Times New Roman" w:cs="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6.5pt;margin-top:30.05pt;width:78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">
                      <v:textbox>
                        <w:txbxContent>
                          <w:p w:rsidR="00D46EA1" w:rsidRPr="009847A9" w:rsidRDefault="00D46EA1" w:rsidP="00D46EA1">
                            <w:pPr>
                              <w:rPr>
                                <w:rFonts w:ascii="Times New Roman" w:hAnsi="Times New Roman" w:cs="Times New Roman"/>
                                <w:b/>
                                <w:sz w:val="24"/>
                                <w:szCs w:val="24"/>
                              </w:rPr>
                            </w:pPr>
                            <w:r w:rsidRPr="009847A9">
                              <w:rPr>
                                <w:rFonts w:ascii="Times New Roman" w:hAnsi="Times New Roman" w:cs="Times New Roman"/>
                                <w:b/>
                                <w:sz w:val="24"/>
                                <w:szCs w:val="24"/>
                              </w:rPr>
                              <w:t>DỰ THẢO</w:t>
                            </w:r>
                          </w:p>
                        </w:txbxContent>
                      </v:textbox>
                    </v:rect>
                  </w:pict>
                </mc:Fallback>
              </mc:AlternateContent>
            </w:r>
            <w:r w:rsidRPr="00D46EA1">
              <w:rPr>
                <w:rFonts w:ascii="Times New Roman" w:hAnsi="Times New Roman" w:cs="Times New Roman"/>
                <w:sz w:val="28"/>
                <w:szCs w:val="28"/>
              </w:rPr>
              <w:t>Số:         /2018/NĐ-CP</w:t>
            </w:r>
            <w:r w:rsidR="009847A9">
              <w:rPr>
                <w:rFonts w:ascii="Times New Roman" w:hAnsi="Times New Roman" w:cs="Times New Roman"/>
                <w:sz w:val="28"/>
                <w:szCs w:val="28"/>
              </w:rPr>
              <w:t xml:space="preserve">           </w:t>
            </w:r>
          </w:p>
        </w:tc>
        <w:tc>
          <w:tcPr>
            <w:tcW w:w="5828" w:type="dxa"/>
          </w:tcPr>
          <w:p w:rsidR="00D46EA1" w:rsidRPr="00D46EA1" w:rsidRDefault="00D46EA1" w:rsidP="009847A9">
            <w:pPr>
              <w:spacing w:after="0"/>
              <w:jc w:val="center"/>
              <w:rPr>
                <w:rFonts w:ascii="Times New Roman" w:eastAsiaTheme="minorEastAsia" w:hAnsi="Times New Roman" w:cs="Times New Roman"/>
                <w:b/>
                <w:bCs/>
                <w:sz w:val="26"/>
                <w:szCs w:val="26"/>
              </w:rPr>
            </w:pPr>
            <w:r w:rsidRPr="00D46EA1">
              <w:rPr>
                <w:rFonts w:ascii="Times New Roman" w:hAnsi="Times New Roman" w:cs="Times New Roman"/>
                <w:b/>
                <w:bCs/>
                <w:sz w:val="26"/>
                <w:szCs w:val="26"/>
              </w:rPr>
              <w:t>CỘNG HÒA XÃ HỘI CHỦ NGHĨA VIỆT NAM</w:t>
            </w:r>
          </w:p>
          <w:p w:rsidR="00D46EA1" w:rsidRPr="00D46EA1" w:rsidRDefault="009847A9" w:rsidP="009847A9">
            <w:pPr>
              <w:spacing w:after="0"/>
              <w:jc w:val="center"/>
              <w:rPr>
                <w:rFonts w:ascii="Times New Roman" w:hAnsi="Times New Roman" w:cs="Times New Roman"/>
                <w:b/>
                <w:sz w:val="28"/>
                <w:szCs w:val="28"/>
              </w:rPr>
            </w:pPr>
            <w:r w:rsidRPr="00D46EA1">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2D29FC59" wp14:editId="3EC2B4E7">
                      <wp:simplePos x="0" y="0"/>
                      <wp:positionH relativeFrom="column">
                        <wp:posOffset>667385</wp:posOffset>
                      </wp:positionH>
                      <wp:positionV relativeFrom="paragraph">
                        <wp:posOffset>265430</wp:posOffset>
                      </wp:positionV>
                      <wp:extent cx="2257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5pt,20.9pt" to="230.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"/>
                  </w:pict>
                </mc:Fallback>
              </mc:AlternateContent>
            </w:r>
            <w:r w:rsidR="00D46EA1" w:rsidRPr="00D46EA1">
              <w:rPr>
                <w:rFonts w:ascii="Times New Roman" w:hAnsi="Times New Roman" w:cs="Times New Roman"/>
                <w:b/>
                <w:sz w:val="28"/>
                <w:szCs w:val="28"/>
              </w:rPr>
              <w:t xml:space="preserve">Độc lập </w:t>
            </w:r>
            <w:r w:rsidR="005F3C7A" w:rsidRPr="005F3C7A">
              <w:rPr>
                <w:rFonts w:ascii="Times New Roman" w:hAnsi="Times New Roman" w:cs="Times New Roman"/>
                <w:sz w:val="28"/>
                <w:szCs w:val="28"/>
              </w:rPr>
              <w:t>-</w:t>
            </w:r>
            <w:r w:rsidR="00D46EA1" w:rsidRPr="00D46EA1">
              <w:rPr>
                <w:rFonts w:ascii="Times New Roman" w:hAnsi="Times New Roman" w:cs="Times New Roman"/>
                <w:b/>
                <w:sz w:val="28"/>
                <w:szCs w:val="28"/>
              </w:rPr>
              <w:t xml:space="preserve"> Tự do </w:t>
            </w:r>
            <w:r w:rsidR="005F3C7A" w:rsidRPr="005F3C7A">
              <w:rPr>
                <w:rFonts w:ascii="Times New Roman" w:hAnsi="Times New Roman" w:cs="Times New Roman"/>
                <w:sz w:val="28"/>
                <w:szCs w:val="28"/>
              </w:rPr>
              <w:t>-</w:t>
            </w:r>
            <w:r w:rsidR="00D46EA1" w:rsidRPr="00D46EA1">
              <w:rPr>
                <w:rFonts w:ascii="Times New Roman" w:hAnsi="Times New Roman" w:cs="Times New Roman"/>
                <w:b/>
                <w:sz w:val="28"/>
                <w:szCs w:val="28"/>
              </w:rPr>
              <w:t xml:space="preserve"> Hạnh phúc</w:t>
            </w:r>
          </w:p>
          <w:p w:rsidR="009847A9" w:rsidRDefault="009847A9" w:rsidP="006020D2">
            <w:pPr>
              <w:spacing w:after="120"/>
              <w:jc w:val="center"/>
              <w:rPr>
                <w:rFonts w:ascii="Times New Roman" w:hAnsi="Times New Roman" w:cs="Times New Roman"/>
                <w:i/>
                <w:sz w:val="28"/>
                <w:szCs w:val="28"/>
              </w:rPr>
            </w:pPr>
          </w:p>
          <w:p w:rsidR="00D46EA1" w:rsidRPr="00D46EA1" w:rsidRDefault="00D46EA1" w:rsidP="009847A9">
            <w:pPr>
              <w:spacing w:after="120"/>
              <w:jc w:val="center"/>
              <w:rPr>
                <w:rFonts w:ascii="Times New Roman" w:eastAsiaTheme="minorEastAsia" w:hAnsi="Times New Roman" w:cs="Times New Roman"/>
                <w:b/>
                <w:bCs/>
                <w:sz w:val="28"/>
                <w:szCs w:val="28"/>
              </w:rPr>
            </w:pPr>
            <w:r w:rsidRPr="00D46EA1">
              <w:rPr>
                <w:rFonts w:ascii="Times New Roman" w:hAnsi="Times New Roman" w:cs="Times New Roman"/>
                <w:i/>
                <w:sz w:val="28"/>
                <w:szCs w:val="28"/>
              </w:rPr>
              <w:t>Hà Nội, ngày     tháng      năm 2018</w:t>
            </w:r>
          </w:p>
        </w:tc>
      </w:tr>
    </w:tbl>
    <w:p w:rsidR="00D46EA1" w:rsidRPr="00D46EA1" w:rsidRDefault="00D46EA1" w:rsidP="00D46EA1">
      <w:pPr>
        <w:pStyle w:val="NormalWeb"/>
        <w:spacing w:before="120" w:beforeAutospacing="0"/>
      </w:pPr>
      <w:r w:rsidRPr="00D46EA1">
        <w:t> </w:t>
      </w:r>
    </w:p>
    <w:p w:rsidR="00D46EA1" w:rsidRPr="00C420D7" w:rsidRDefault="00D46EA1" w:rsidP="00811C85">
      <w:pPr>
        <w:pStyle w:val="NormalWeb"/>
        <w:spacing w:before="120" w:beforeAutospacing="0" w:after="120" w:afterAutospacing="0"/>
        <w:jc w:val="center"/>
        <w:rPr>
          <w:sz w:val="28"/>
          <w:szCs w:val="28"/>
        </w:rPr>
      </w:pPr>
      <w:r w:rsidRPr="00C420D7">
        <w:rPr>
          <w:b/>
          <w:bCs/>
          <w:sz w:val="28"/>
          <w:szCs w:val="28"/>
          <w:lang w:val="vi-VN"/>
        </w:rPr>
        <w:t>QUYẾT ĐỊNH</w:t>
      </w:r>
    </w:p>
    <w:p w:rsidR="00D46EA1" w:rsidRPr="00C420D7" w:rsidRDefault="00D46EA1" w:rsidP="00C420D7">
      <w:pPr>
        <w:pStyle w:val="NormalWeb"/>
        <w:spacing w:before="120" w:beforeAutospacing="0" w:after="120" w:afterAutospacing="0"/>
        <w:jc w:val="center"/>
        <w:rPr>
          <w:b/>
          <w:sz w:val="28"/>
          <w:szCs w:val="28"/>
        </w:rPr>
      </w:pPr>
      <w:r w:rsidRPr="00C420D7">
        <w:rPr>
          <w:b/>
          <w:spacing w:val="-6"/>
          <w:sz w:val="28"/>
          <w:szCs w:val="28"/>
        </w:rPr>
        <w:t>Về việc bãi bỏ một số văn bản quy phạm pháp luậ</w:t>
      </w:r>
      <w:r w:rsidR="00C420D7" w:rsidRPr="00C420D7">
        <w:rPr>
          <w:b/>
          <w:spacing w:val="-6"/>
          <w:sz w:val="28"/>
          <w:szCs w:val="28"/>
        </w:rPr>
        <w:t xml:space="preserve">t </w:t>
      </w:r>
      <w:r w:rsidRPr="00C420D7">
        <w:rPr>
          <w:b/>
          <w:spacing w:val="-6"/>
          <w:sz w:val="28"/>
          <w:szCs w:val="28"/>
        </w:rPr>
        <w:t>thuộc thẩm quyền</w:t>
      </w:r>
      <w:r w:rsidR="0043139F" w:rsidRPr="00C420D7">
        <w:rPr>
          <w:b/>
          <w:spacing w:val="-6"/>
          <w:sz w:val="28"/>
          <w:szCs w:val="28"/>
        </w:rPr>
        <w:t xml:space="preserve"> </w:t>
      </w:r>
      <w:r w:rsidRPr="00C420D7">
        <w:rPr>
          <w:b/>
          <w:spacing w:val="-6"/>
          <w:sz w:val="28"/>
          <w:szCs w:val="28"/>
        </w:rPr>
        <w:t xml:space="preserve">ban </w:t>
      </w:r>
      <w:r w:rsidRPr="00C420D7">
        <w:rPr>
          <w:b/>
          <w:sz w:val="28"/>
          <w:szCs w:val="28"/>
        </w:rPr>
        <w:t xml:space="preserve">hành </w:t>
      </w:r>
      <w:r w:rsidRPr="007018CE">
        <w:rPr>
          <w:rFonts w:ascii="Times New Roman Bold" w:hAnsi="Times New Roman Bold"/>
          <w:b/>
          <w:spacing w:val="-6"/>
          <w:sz w:val="28"/>
          <w:szCs w:val="28"/>
        </w:rPr>
        <w:t>của Thủ tướng Chính phủ trong</w:t>
      </w:r>
      <w:r w:rsidR="0043139F" w:rsidRPr="007018CE">
        <w:rPr>
          <w:rFonts w:ascii="Times New Roman Bold" w:hAnsi="Times New Roman Bold"/>
          <w:b/>
          <w:spacing w:val="-6"/>
          <w:sz w:val="28"/>
          <w:szCs w:val="28"/>
        </w:rPr>
        <w:t xml:space="preserve"> các</w:t>
      </w:r>
      <w:r w:rsidRPr="007018CE">
        <w:rPr>
          <w:rFonts w:ascii="Times New Roman Bold" w:hAnsi="Times New Roman Bold"/>
          <w:b/>
          <w:spacing w:val="-6"/>
          <w:sz w:val="28"/>
          <w:szCs w:val="28"/>
        </w:rPr>
        <w:t xml:space="preserve"> </w:t>
      </w:r>
      <w:r w:rsidR="003A6BBA" w:rsidRPr="007018CE">
        <w:rPr>
          <w:rFonts w:ascii="Times New Roman Bold" w:hAnsi="Times New Roman Bold"/>
          <w:b/>
          <w:spacing w:val="-6"/>
          <w:sz w:val="28"/>
          <w:szCs w:val="28"/>
        </w:rPr>
        <w:t xml:space="preserve">lĩnh vực </w:t>
      </w:r>
      <w:r w:rsidR="00C420D7" w:rsidRPr="007018CE">
        <w:rPr>
          <w:rFonts w:ascii="Times New Roman Bold" w:hAnsi="Times New Roman Bold"/>
          <w:b/>
          <w:spacing w:val="-6"/>
          <w:sz w:val="28"/>
          <w:szCs w:val="28"/>
        </w:rPr>
        <w:t>ngân hàng,</w:t>
      </w:r>
      <w:r w:rsidR="0043139F" w:rsidRPr="007018CE">
        <w:rPr>
          <w:rFonts w:ascii="Times New Roman Bold" w:hAnsi="Times New Roman Bold"/>
          <w:b/>
          <w:spacing w:val="-6"/>
          <w:sz w:val="28"/>
          <w:szCs w:val="28"/>
        </w:rPr>
        <w:t xml:space="preserve"> quố</w:t>
      </w:r>
      <w:r w:rsidR="00C420D7" w:rsidRPr="007018CE">
        <w:rPr>
          <w:rFonts w:ascii="Times New Roman Bold" w:hAnsi="Times New Roman Bold"/>
          <w:b/>
          <w:spacing w:val="-6"/>
          <w:sz w:val="28"/>
          <w:szCs w:val="28"/>
        </w:rPr>
        <w:t>c phòng,</w:t>
      </w:r>
      <w:r w:rsidRPr="007018CE">
        <w:rPr>
          <w:rFonts w:ascii="Times New Roman Bold" w:hAnsi="Times New Roman Bold"/>
          <w:b/>
          <w:spacing w:val="-6"/>
          <w:sz w:val="28"/>
          <w:szCs w:val="28"/>
        </w:rPr>
        <w:t xml:space="preserve"> </w:t>
      </w:r>
      <w:r w:rsidR="007018CE" w:rsidRPr="007018CE">
        <w:rPr>
          <w:rFonts w:ascii="Times New Roman Bold" w:hAnsi="Times New Roman Bold"/>
          <w:b/>
          <w:spacing w:val="-6"/>
          <w:sz w:val="28"/>
          <w:szCs w:val="28"/>
        </w:rPr>
        <w:t>tài chính</w:t>
      </w:r>
    </w:p>
    <w:p w:rsidR="00D46EA1" w:rsidRPr="00D46EA1" w:rsidRDefault="0005282A" w:rsidP="00811C85">
      <w:pPr>
        <w:pStyle w:val="NormalWeb"/>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D6F1A1C" wp14:editId="7A49504D">
                <wp:simplePos x="0" y="0"/>
                <wp:positionH relativeFrom="column">
                  <wp:posOffset>2396490</wp:posOffset>
                </wp:positionH>
                <wp:positionV relativeFrom="paragraph">
                  <wp:posOffset>17780</wp:posOffset>
                </wp:positionV>
                <wp:extent cx="9239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1.4pt" to="26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GQ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"/>
            </w:pict>
          </mc:Fallback>
        </mc:AlternateContent>
      </w:r>
    </w:p>
    <w:p w:rsidR="00D46EA1" w:rsidRPr="00D46EA1" w:rsidRDefault="00D46EA1" w:rsidP="00811C85">
      <w:pPr>
        <w:pStyle w:val="NormalWeb"/>
        <w:spacing w:before="120" w:beforeAutospacing="0" w:after="120" w:afterAutospacing="0" w:line="276" w:lineRule="auto"/>
        <w:ind w:firstLine="567"/>
        <w:jc w:val="both"/>
        <w:rPr>
          <w:sz w:val="28"/>
          <w:szCs w:val="28"/>
        </w:rPr>
      </w:pPr>
      <w:r w:rsidRPr="00D46EA1">
        <w:rPr>
          <w:i/>
          <w:iCs/>
          <w:sz w:val="28"/>
          <w:szCs w:val="28"/>
        </w:rPr>
        <w:t xml:space="preserve">Căn cứ </w:t>
      </w:r>
      <w:r w:rsidRPr="00D46EA1">
        <w:rPr>
          <w:i/>
          <w:iCs/>
          <w:sz w:val="28"/>
          <w:szCs w:val="28"/>
          <w:lang w:val="vi-VN"/>
        </w:rPr>
        <w:t>Luật tổ chức Chính phủ ngày 19 tháng 6 năm 2015;</w:t>
      </w:r>
    </w:p>
    <w:p w:rsidR="00D46EA1" w:rsidRPr="00D46EA1" w:rsidRDefault="00D46EA1" w:rsidP="00811C85">
      <w:pPr>
        <w:pStyle w:val="NormalWeb"/>
        <w:spacing w:before="120" w:beforeAutospacing="0" w:after="120" w:afterAutospacing="0" w:line="276" w:lineRule="auto"/>
        <w:ind w:firstLine="567"/>
        <w:jc w:val="both"/>
        <w:rPr>
          <w:spacing w:val="-6"/>
          <w:sz w:val="28"/>
          <w:szCs w:val="28"/>
        </w:rPr>
      </w:pPr>
      <w:r w:rsidRPr="00D46EA1">
        <w:rPr>
          <w:i/>
          <w:iCs/>
          <w:spacing w:val="-6"/>
          <w:sz w:val="28"/>
          <w:szCs w:val="28"/>
          <w:lang w:val="vi-VN"/>
        </w:rPr>
        <w:t>Căn cứ Luật ban hành văn bản quy phạm pháp luật ngày 22 tháng 6 năm 2015;</w:t>
      </w:r>
    </w:p>
    <w:p w:rsidR="00D46EA1" w:rsidRPr="00D46EA1" w:rsidRDefault="00D46EA1" w:rsidP="00811C85">
      <w:pPr>
        <w:pStyle w:val="NormalWeb"/>
        <w:spacing w:before="120" w:beforeAutospacing="0" w:after="120" w:afterAutospacing="0" w:line="276" w:lineRule="auto"/>
        <w:ind w:firstLine="567"/>
        <w:jc w:val="both"/>
        <w:rPr>
          <w:sz w:val="28"/>
          <w:szCs w:val="28"/>
        </w:rPr>
      </w:pPr>
      <w:r w:rsidRPr="00D46EA1">
        <w:rPr>
          <w:i/>
          <w:iCs/>
          <w:sz w:val="28"/>
          <w:szCs w:val="28"/>
          <w:lang w:val="vi-VN"/>
        </w:rPr>
        <w:t xml:space="preserve">Căn cứ Nghị định </w:t>
      </w:r>
      <w:r w:rsidRPr="00D46EA1">
        <w:rPr>
          <w:i/>
          <w:iCs/>
          <w:sz w:val="28"/>
          <w:szCs w:val="28"/>
        </w:rPr>
        <w:t>số</w:t>
      </w:r>
      <w:r w:rsidRPr="00D46EA1">
        <w:rPr>
          <w:i/>
          <w:iCs/>
          <w:sz w:val="28"/>
          <w:szCs w:val="28"/>
          <w:lang w:val="vi-VN"/>
        </w:rPr>
        <w:t xml:space="preserve"> 34/2016/NĐ-CP ngày 14 tháng 5 năm 2016 của Chính phủ quy định chi tiết một </w:t>
      </w:r>
      <w:r w:rsidRPr="00D46EA1">
        <w:rPr>
          <w:i/>
          <w:iCs/>
          <w:sz w:val="28"/>
          <w:szCs w:val="28"/>
        </w:rPr>
        <w:t xml:space="preserve">số </w:t>
      </w:r>
      <w:r w:rsidRPr="00D46EA1">
        <w:rPr>
          <w:i/>
          <w:iCs/>
          <w:sz w:val="28"/>
          <w:szCs w:val="28"/>
          <w:lang w:val="vi-VN"/>
        </w:rPr>
        <w:t>điều và biện pháp thi hành Luật ban hành văn bản quy phạm pháp luật;</w:t>
      </w:r>
    </w:p>
    <w:p w:rsidR="00D46EA1" w:rsidRPr="006B5256" w:rsidRDefault="00D46EA1" w:rsidP="00811C85">
      <w:pPr>
        <w:pStyle w:val="NormalWeb"/>
        <w:spacing w:before="120" w:beforeAutospacing="0" w:after="120" w:afterAutospacing="0" w:line="276" w:lineRule="auto"/>
        <w:ind w:firstLine="567"/>
        <w:jc w:val="both"/>
        <w:rPr>
          <w:sz w:val="28"/>
          <w:szCs w:val="28"/>
        </w:rPr>
      </w:pPr>
      <w:r w:rsidRPr="00D46EA1">
        <w:rPr>
          <w:i/>
          <w:iCs/>
          <w:sz w:val="28"/>
          <w:szCs w:val="28"/>
          <w:lang w:val="vi-VN"/>
        </w:rPr>
        <w:t xml:space="preserve">Theo đề nghị của Bộ trưởng Bộ </w:t>
      </w:r>
      <w:r w:rsidRPr="00D46EA1">
        <w:rPr>
          <w:i/>
          <w:iCs/>
          <w:sz w:val="28"/>
          <w:szCs w:val="28"/>
        </w:rPr>
        <w:t>Tư pháp</w:t>
      </w:r>
      <w:r w:rsidR="006B5256">
        <w:rPr>
          <w:i/>
          <w:iCs/>
          <w:sz w:val="28"/>
          <w:szCs w:val="28"/>
        </w:rPr>
        <w:t>, Thống đốc Ngân hàng Nhà nước Việt Nam, Bộ trưởng Bộ Quốc phòng, Bộ trưởng Bộ Tài chính;</w:t>
      </w:r>
      <w:bookmarkStart w:id="0" w:name="_GoBack"/>
      <w:bookmarkEnd w:id="0"/>
    </w:p>
    <w:p w:rsidR="00D46EA1" w:rsidRPr="00D46EA1" w:rsidRDefault="00D46EA1" w:rsidP="00811C85">
      <w:pPr>
        <w:pStyle w:val="NormalWeb"/>
        <w:spacing w:before="120" w:beforeAutospacing="0" w:after="120" w:afterAutospacing="0" w:line="276" w:lineRule="auto"/>
        <w:ind w:firstLine="567"/>
        <w:jc w:val="both"/>
        <w:rPr>
          <w:sz w:val="28"/>
          <w:szCs w:val="28"/>
        </w:rPr>
      </w:pPr>
      <w:r w:rsidRPr="00D46EA1">
        <w:rPr>
          <w:i/>
          <w:iCs/>
          <w:sz w:val="28"/>
          <w:szCs w:val="28"/>
          <w:lang w:val="vi-VN"/>
        </w:rPr>
        <w:t xml:space="preserve">Thủ tướng Chính phủ ban hành Quyết định </w:t>
      </w:r>
      <w:r w:rsidR="00C420D7" w:rsidRPr="00C420D7">
        <w:rPr>
          <w:i/>
          <w:iCs/>
          <w:sz w:val="28"/>
          <w:szCs w:val="28"/>
          <w:lang w:val="vi-VN"/>
        </w:rPr>
        <w:t xml:space="preserve">bãi bỏ một số văn bản quy phạm pháp luật thuộc thẩm quyền ban hành của Thủ tướng Chính phủ trong các </w:t>
      </w:r>
      <w:r w:rsidR="003A6BBA">
        <w:rPr>
          <w:i/>
          <w:iCs/>
          <w:sz w:val="28"/>
          <w:szCs w:val="28"/>
          <w:lang w:val="vi-VN"/>
        </w:rPr>
        <w:t>lĩnh vực</w:t>
      </w:r>
      <w:r w:rsidR="00CF7A89">
        <w:rPr>
          <w:i/>
          <w:iCs/>
          <w:sz w:val="28"/>
          <w:szCs w:val="28"/>
        </w:rPr>
        <w:t xml:space="preserve"> </w:t>
      </w:r>
      <w:r w:rsidR="007018CE" w:rsidRPr="007018CE">
        <w:rPr>
          <w:i/>
          <w:iCs/>
          <w:sz w:val="28"/>
          <w:szCs w:val="28"/>
        </w:rPr>
        <w:t>ngân hàng, quốc phòng, tài chính</w:t>
      </w:r>
      <w:r w:rsidR="007018CE">
        <w:rPr>
          <w:i/>
          <w:iCs/>
          <w:sz w:val="28"/>
          <w:szCs w:val="28"/>
        </w:rPr>
        <w:t>.</w:t>
      </w:r>
    </w:p>
    <w:p w:rsidR="00D46EA1" w:rsidRPr="0043139F" w:rsidRDefault="00D46EA1" w:rsidP="00811C85">
      <w:pPr>
        <w:pStyle w:val="NormalWeb"/>
        <w:spacing w:before="120" w:beforeAutospacing="0" w:after="120" w:afterAutospacing="0" w:line="276" w:lineRule="auto"/>
        <w:ind w:firstLine="567"/>
        <w:jc w:val="both"/>
        <w:rPr>
          <w:b/>
          <w:spacing w:val="-4"/>
          <w:sz w:val="28"/>
          <w:szCs w:val="28"/>
        </w:rPr>
      </w:pPr>
      <w:r w:rsidRPr="0043139F">
        <w:rPr>
          <w:b/>
          <w:bCs/>
          <w:spacing w:val="-4"/>
          <w:sz w:val="28"/>
          <w:szCs w:val="28"/>
          <w:lang w:val="vi-VN"/>
        </w:rPr>
        <w:t>Điều 1.</w:t>
      </w:r>
      <w:r w:rsidRPr="0043139F">
        <w:rPr>
          <w:spacing w:val="-4"/>
          <w:sz w:val="28"/>
          <w:szCs w:val="28"/>
          <w:lang w:val="vi-VN"/>
        </w:rPr>
        <w:t xml:space="preserve"> </w:t>
      </w:r>
      <w:r w:rsidR="00C420D7">
        <w:rPr>
          <w:b/>
          <w:spacing w:val="-4"/>
          <w:sz w:val="28"/>
          <w:szCs w:val="28"/>
        </w:rPr>
        <w:t>B</w:t>
      </w:r>
      <w:r w:rsidR="00C420D7" w:rsidRPr="00C420D7">
        <w:rPr>
          <w:b/>
          <w:spacing w:val="-4"/>
          <w:sz w:val="28"/>
          <w:szCs w:val="28"/>
          <w:lang w:val="vi-VN"/>
        </w:rPr>
        <w:t xml:space="preserve">ãi bỏ một số văn bản quy phạm pháp luật thuộc thẩm quyền ban hành của Thủ tướng Chính phủ trong các </w:t>
      </w:r>
      <w:r w:rsidR="003A6BBA">
        <w:rPr>
          <w:b/>
          <w:spacing w:val="-4"/>
          <w:sz w:val="28"/>
          <w:szCs w:val="28"/>
          <w:lang w:val="vi-VN"/>
        </w:rPr>
        <w:t>lĩnh vực</w:t>
      </w:r>
      <w:r w:rsidR="00CF7A89">
        <w:rPr>
          <w:b/>
          <w:spacing w:val="-4"/>
          <w:sz w:val="28"/>
          <w:szCs w:val="28"/>
        </w:rPr>
        <w:t xml:space="preserve"> </w:t>
      </w:r>
      <w:r w:rsidR="007018CE" w:rsidRPr="007018CE">
        <w:rPr>
          <w:b/>
          <w:spacing w:val="-4"/>
          <w:sz w:val="28"/>
          <w:szCs w:val="28"/>
        </w:rPr>
        <w:t>ngân hàng, quốc phòng, tài chính</w:t>
      </w:r>
      <w:r w:rsidR="00051729">
        <w:rPr>
          <w:b/>
          <w:spacing w:val="-4"/>
          <w:sz w:val="28"/>
          <w:szCs w:val="28"/>
        </w:rPr>
        <w:t xml:space="preserve"> </w:t>
      </w:r>
      <w:r w:rsidRPr="0043139F">
        <w:rPr>
          <w:b/>
          <w:spacing w:val="-4"/>
          <w:sz w:val="28"/>
          <w:szCs w:val="28"/>
        </w:rPr>
        <w:t>bao gồm</w:t>
      </w:r>
      <w:r w:rsidRPr="0043139F">
        <w:rPr>
          <w:b/>
          <w:spacing w:val="-4"/>
          <w:sz w:val="28"/>
          <w:szCs w:val="28"/>
          <w:lang w:val="vi-VN"/>
        </w:rPr>
        <w:t>:</w:t>
      </w:r>
    </w:p>
    <w:p w:rsidR="002C039F" w:rsidRDefault="00D46EA1" w:rsidP="00C420D7">
      <w:pPr>
        <w:pStyle w:val="NormalWeb"/>
        <w:spacing w:before="120" w:beforeAutospacing="0" w:after="120" w:afterAutospacing="0" w:line="276" w:lineRule="auto"/>
        <w:ind w:firstLine="567"/>
        <w:jc w:val="both"/>
        <w:rPr>
          <w:sz w:val="28"/>
          <w:szCs w:val="28"/>
        </w:rPr>
      </w:pPr>
      <w:r w:rsidRPr="00D46EA1">
        <w:rPr>
          <w:sz w:val="28"/>
          <w:szCs w:val="28"/>
        </w:rPr>
        <w:t xml:space="preserve">1. </w:t>
      </w:r>
      <w:r w:rsidR="002C039F" w:rsidRPr="002C039F">
        <w:rPr>
          <w:sz w:val="28"/>
          <w:szCs w:val="28"/>
        </w:rPr>
        <w:t xml:space="preserve">Quyết định </w:t>
      </w:r>
      <w:r w:rsidR="00217B11">
        <w:rPr>
          <w:sz w:val="28"/>
          <w:szCs w:val="28"/>
        </w:rPr>
        <w:t xml:space="preserve">số </w:t>
      </w:r>
      <w:r w:rsidR="002C039F" w:rsidRPr="002C039F">
        <w:rPr>
          <w:sz w:val="28"/>
          <w:szCs w:val="28"/>
        </w:rPr>
        <w:t xml:space="preserve">595/TTg </w:t>
      </w:r>
      <w:r w:rsidR="002C039F">
        <w:rPr>
          <w:sz w:val="28"/>
          <w:szCs w:val="28"/>
        </w:rPr>
        <w:t>ngày 15/12/</w:t>
      </w:r>
      <w:r w:rsidR="002C039F" w:rsidRPr="002C039F">
        <w:rPr>
          <w:sz w:val="28"/>
          <w:szCs w:val="28"/>
        </w:rPr>
        <w:t xml:space="preserve">1993 </w:t>
      </w:r>
      <w:r w:rsidR="002C039F">
        <w:rPr>
          <w:sz w:val="28"/>
          <w:szCs w:val="28"/>
        </w:rPr>
        <w:t xml:space="preserve">của Thủ tướng Chính phủ </w:t>
      </w:r>
      <w:r w:rsidR="002C039F" w:rsidRPr="002C039F">
        <w:rPr>
          <w:sz w:val="28"/>
          <w:szCs w:val="28"/>
        </w:rPr>
        <w:t>về chế độ đối với quân nhân, công an nhân dân khi xuấ</w:t>
      </w:r>
      <w:r w:rsidR="002C039F">
        <w:rPr>
          <w:sz w:val="28"/>
          <w:szCs w:val="28"/>
        </w:rPr>
        <w:t>t ngũ;</w:t>
      </w:r>
    </w:p>
    <w:p w:rsidR="00D46EA1" w:rsidRDefault="002C039F" w:rsidP="00C420D7">
      <w:pPr>
        <w:pStyle w:val="NormalWeb"/>
        <w:spacing w:before="120" w:beforeAutospacing="0" w:after="120" w:afterAutospacing="0" w:line="276" w:lineRule="auto"/>
        <w:ind w:firstLine="567"/>
        <w:jc w:val="both"/>
        <w:rPr>
          <w:sz w:val="28"/>
          <w:szCs w:val="28"/>
        </w:rPr>
      </w:pPr>
      <w:r>
        <w:rPr>
          <w:sz w:val="28"/>
          <w:szCs w:val="28"/>
        </w:rPr>
        <w:t xml:space="preserve">2. </w:t>
      </w:r>
      <w:r w:rsidR="00D46EA1" w:rsidRPr="00D46EA1">
        <w:rPr>
          <w:sz w:val="28"/>
          <w:szCs w:val="28"/>
        </w:rPr>
        <w:t xml:space="preserve">Quyết định số 135/2000/QĐ-TTg ngày 28/11/2000 của Thủ tướng Chính phủ </w:t>
      </w:r>
      <w:r w:rsidR="009702E5">
        <w:rPr>
          <w:sz w:val="28"/>
          <w:szCs w:val="28"/>
        </w:rPr>
        <w:t>p</w:t>
      </w:r>
      <w:r w:rsidR="00D46EA1" w:rsidRPr="00D46EA1">
        <w:rPr>
          <w:sz w:val="28"/>
          <w:szCs w:val="28"/>
        </w:rPr>
        <w:t>hê duyệt Đề án củng cố, hoàn thiện và phát triển hệ thống quỹ tín dụng nhân dân;</w:t>
      </w:r>
    </w:p>
    <w:p w:rsidR="002C039F" w:rsidRDefault="002C039F" w:rsidP="00CF7A89">
      <w:pPr>
        <w:pStyle w:val="NormalWeb"/>
        <w:spacing w:before="120" w:beforeAutospacing="0" w:after="120" w:afterAutospacing="0" w:line="276" w:lineRule="auto"/>
        <w:ind w:firstLine="567"/>
        <w:jc w:val="both"/>
        <w:rPr>
          <w:sz w:val="28"/>
          <w:szCs w:val="28"/>
        </w:rPr>
      </w:pPr>
      <w:r>
        <w:rPr>
          <w:sz w:val="28"/>
          <w:szCs w:val="28"/>
        </w:rPr>
        <w:t>3</w:t>
      </w:r>
      <w:r w:rsidR="00C420D7">
        <w:rPr>
          <w:sz w:val="28"/>
          <w:szCs w:val="28"/>
        </w:rPr>
        <w:t>.</w:t>
      </w:r>
      <w:r w:rsidR="00CF7A89">
        <w:rPr>
          <w:sz w:val="28"/>
          <w:szCs w:val="28"/>
        </w:rPr>
        <w:t xml:space="preserve"> </w:t>
      </w:r>
      <w:r w:rsidRPr="002C039F">
        <w:rPr>
          <w:sz w:val="28"/>
          <w:szCs w:val="28"/>
        </w:rPr>
        <w:t xml:space="preserve">Quyết định </w:t>
      </w:r>
      <w:r w:rsidR="00217B11">
        <w:rPr>
          <w:sz w:val="28"/>
          <w:szCs w:val="28"/>
        </w:rPr>
        <w:t xml:space="preserve">số </w:t>
      </w:r>
      <w:r w:rsidRPr="002C039F">
        <w:rPr>
          <w:sz w:val="28"/>
          <w:szCs w:val="28"/>
        </w:rPr>
        <w:t xml:space="preserve">92/2005/QĐ-TTg </w:t>
      </w:r>
      <w:r>
        <w:rPr>
          <w:sz w:val="28"/>
          <w:szCs w:val="28"/>
        </w:rPr>
        <w:t xml:space="preserve">ngày 29/4/2005 của Chính phủ </w:t>
      </w:r>
      <w:r w:rsidRPr="002C039F">
        <w:rPr>
          <w:sz w:val="28"/>
          <w:szCs w:val="28"/>
        </w:rPr>
        <w:t>về thực hiện chế độ đối với quân nhân là người dân tộc ít người thuộc Quân khu 7, Quân khu 9, tham gia kháng chiến chống Mỹ, về địa phương trướ</w:t>
      </w:r>
      <w:r>
        <w:rPr>
          <w:sz w:val="28"/>
          <w:szCs w:val="28"/>
        </w:rPr>
        <w:t>c ngày 10/01/1982;</w:t>
      </w:r>
    </w:p>
    <w:p w:rsidR="002C039F" w:rsidRPr="00D46EA1" w:rsidRDefault="00CF7A89" w:rsidP="00C420D7">
      <w:pPr>
        <w:pStyle w:val="NormalWeb"/>
        <w:spacing w:before="120" w:beforeAutospacing="0" w:after="120" w:afterAutospacing="0" w:line="276" w:lineRule="auto"/>
        <w:ind w:firstLine="567"/>
        <w:jc w:val="both"/>
        <w:rPr>
          <w:sz w:val="28"/>
          <w:szCs w:val="28"/>
        </w:rPr>
      </w:pPr>
      <w:r>
        <w:rPr>
          <w:sz w:val="28"/>
          <w:szCs w:val="28"/>
        </w:rPr>
        <w:t>4</w:t>
      </w:r>
      <w:r w:rsidR="002C039F">
        <w:rPr>
          <w:sz w:val="28"/>
          <w:szCs w:val="28"/>
        </w:rPr>
        <w:t xml:space="preserve">. </w:t>
      </w:r>
      <w:r w:rsidR="002C039F" w:rsidRPr="002C039F">
        <w:rPr>
          <w:sz w:val="28"/>
          <w:szCs w:val="28"/>
        </w:rPr>
        <w:t xml:space="preserve">Quyết định </w:t>
      </w:r>
      <w:r w:rsidR="00217B11">
        <w:rPr>
          <w:sz w:val="28"/>
          <w:szCs w:val="28"/>
        </w:rPr>
        <w:t xml:space="preserve">số </w:t>
      </w:r>
      <w:r w:rsidR="002C039F" w:rsidRPr="002C039F">
        <w:rPr>
          <w:sz w:val="28"/>
          <w:szCs w:val="28"/>
        </w:rPr>
        <w:t>98/2005/QĐ-TTg</w:t>
      </w:r>
      <w:r w:rsidR="002C039F">
        <w:rPr>
          <w:sz w:val="28"/>
          <w:szCs w:val="28"/>
        </w:rPr>
        <w:t xml:space="preserve"> ngày 09/5/2005 của Thủ tướng Chính phủ</w:t>
      </w:r>
      <w:r w:rsidR="002C039F" w:rsidRPr="002C039F">
        <w:rPr>
          <w:sz w:val="28"/>
          <w:szCs w:val="28"/>
        </w:rPr>
        <w:t xml:space="preserve"> phê duyệt phương án điều chỉnh sắp xếp, đổi mới công ty nhà nước trực thuộc Bộ Quốc phòng</w:t>
      </w:r>
      <w:r w:rsidR="002C039F">
        <w:rPr>
          <w:sz w:val="28"/>
          <w:szCs w:val="28"/>
        </w:rPr>
        <w:t>;</w:t>
      </w:r>
      <w:r w:rsidR="002C039F" w:rsidRPr="002C039F">
        <w:rPr>
          <w:sz w:val="28"/>
          <w:szCs w:val="28"/>
        </w:rPr>
        <w:t xml:space="preserve"> </w:t>
      </w:r>
    </w:p>
    <w:p w:rsidR="00D46EA1" w:rsidRPr="00D46EA1" w:rsidRDefault="00CF7A89" w:rsidP="00811C85">
      <w:pPr>
        <w:pStyle w:val="NormalWeb"/>
        <w:spacing w:before="120" w:beforeAutospacing="0" w:after="120" w:afterAutospacing="0" w:line="276" w:lineRule="auto"/>
        <w:ind w:firstLine="567"/>
        <w:jc w:val="both"/>
        <w:rPr>
          <w:sz w:val="28"/>
          <w:szCs w:val="28"/>
        </w:rPr>
      </w:pPr>
      <w:r>
        <w:rPr>
          <w:sz w:val="28"/>
          <w:szCs w:val="28"/>
        </w:rPr>
        <w:lastRenderedPageBreak/>
        <w:t>5</w:t>
      </w:r>
      <w:r w:rsidR="00D46EA1" w:rsidRPr="00D46EA1">
        <w:rPr>
          <w:sz w:val="28"/>
          <w:szCs w:val="28"/>
        </w:rPr>
        <w:t xml:space="preserve">. Quyết định số 230/2005/QĐ-TTg ngày 21/9/2005 của Thủ tướng Chính phủ </w:t>
      </w:r>
      <w:r w:rsidR="007D0E3E">
        <w:rPr>
          <w:sz w:val="28"/>
          <w:szCs w:val="28"/>
        </w:rPr>
        <w:t>t</w:t>
      </w:r>
      <w:r w:rsidR="00D46EA1" w:rsidRPr="00D46EA1">
        <w:rPr>
          <w:sz w:val="28"/>
          <w:szCs w:val="28"/>
        </w:rPr>
        <w:t>hí điểm cổ phần hóa Ngân hàng Ngoại thương Việt Nam;</w:t>
      </w:r>
    </w:p>
    <w:p w:rsidR="00D46EA1" w:rsidRDefault="00CF7A89" w:rsidP="00811C85">
      <w:pPr>
        <w:pStyle w:val="NormalWeb"/>
        <w:spacing w:before="120" w:beforeAutospacing="0" w:after="120" w:afterAutospacing="0" w:line="276" w:lineRule="auto"/>
        <w:ind w:firstLine="567"/>
        <w:jc w:val="both"/>
        <w:rPr>
          <w:sz w:val="28"/>
          <w:szCs w:val="28"/>
        </w:rPr>
      </w:pPr>
      <w:r>
        <w:rPr>
          <w:sz w:val="28"/>
          <w:szCs w:val="28"/>
        </w:rPr>
        <w:t>6</w:t>
      </w:r>
      <w:r w:rsidR="00D46EA1" w:rsidRPr="00D46EA1">
        <w:rPr>
          <w:sz w:val="28"/>
          <w:szCs w:val="28"/>
        </w:rPr>
        <w:t xml:space="preserve">. Quyết định số 117/2008/QĐ-TTg ngày 27/8/2008 của Thủ tướng Chính phủ </w:t>
      </w:r>
      <w:r w:rsidR="009702E5">
        <w:rPr>
          <w:sz w:val="28"/>
          <w:szCs w:val="28"/>
        </w:rPr>
        <w:t>đ</w:t>
      </w:r>
      <w:r w:rsidR="00D46EA1" w:rsidRPr="00D46EA1">
        <w:rPr>
          <w:sz w:val="28"/>
          <w:szCs w:val="28"/>
        </w:rPr>
        <w:t>iều chỉnh mức đóng bảo hiểm y tế đối với các đối tượng thuộc diện chính sách xã hộ</w:t>
      </w:r>
      <w:r w:rsidR="00C420D7">
        <w:rPr>
          <w:sz w:val="28"/>
          <w:szCs w:val="28"/>
        </w:rPr>
        <w:t>i;</w:t>
      </w:r>
    </w:p>
    <w:p w:rsidR="002C039F" w:rsidRPr="00D46EA1" w:rsidRDefault="00CF7A89" w:rsidP="00CF7A89">
      <w:pPr>
        <w:pStyle w:val="NormalWeb"/>
        <w:spacing w:before="120" w:beforeAutospacing="0" w:after="120" w:afterAutospacing="0" w:line="276" w:lineRule="auto"/>
        <w:ind w:firstLine="567"/>
        <w:jc w:val="both"/>
        <w:rPr>
          <w:sz w:val="28"/>
          <w:szCs w:val="28"/>
        </w:rPr>
      </w:pPr>
      <w:r>
        <w:rPr>
          <w:sz w:val="28"/>
          <w:szCs w:val="28"/>
        </w:rPr>
        <w:t>7</w:t>
      </w:r>
      <w:r w:rsidR="002C039F">
        <w:rPr>
          <w:sz w:val="28"/>
          <w:szCs w:val="28"/>
        </w:rPr>
        <w:t xml:space="preserve">. </w:t>
      </w:r>
      <w:r w:rsidR="00C420D7" w:rsidRPr="00C420D7">
        <w:rPr>
          <w:sz w:val="28"/>
          <w:szCs w:val="28"/>
        </w:rPr>
        <w:t xml:space="preserve">Quyết định </w:t>
      </w:r>
      <w:r w:rsidR="00217B11">
        <w:rPr>
          <w:sz w:val="28"/>
          <w:szCs w:val="28"/>
        </w:rPr>
        <w:t xml:space="preserve">số </w:t>
      </w:r>
      <w:r w:rsidR="00C420D7" w:rsidRPr="00C420D7">
        <w:rPr>
          <w:sz w:val="28"/>
          <w:szCs w:val="28"/>
        </w:rPr>
        <w:t>39/2009/QĐ-TTg</w:t>
      </w:r>
      <w:r w:rsidR="00C420D7">
        <w:rPr>
          <w:sz w:val="28"/>
          <w:szCs w:val="28"/>
        </w:rPr>
        <w:t xml:space="preserve"> ngày 09/3/2009 của Thủ tướng Chính phủ </w:t>
      </w:r>
      <w:r w:rsidR="00C420D7" w:rsidRPr="00C420D7">
        <w:rPr>
          <w:sz w:val="28"/>
          <w:szCs w:val="28"/>
        </w:rPr>
        <w:t>về quy chế phối hợp giữa lực lượng kiểm lâm và lực lượng dân quân tự vệ trong công tác bảo vệ rừ</w:t>
      </w:r>
      <w:r w:rsidR="00C420D7">
        <w:rPr>
          <w:sz w:val="28"/>
          <w:szCs w:val="28"/>
        </w:rPr>
        <w:t>ng</w:t>
      </w:r>
      <w:r>
        <w:rPr>
          <w:sz w:val="28"/>
          <w:szCs w:val="28"/>
        </w:rPr>
        <w:t>.</w:t>
      </w:r>
    </w:p>
    <w:p w:rsidR="00D46EA1" w:rsidRPr="00CF7A89" w:rsidRDefault="00D46EA1" w:rsidP="00811C85">
      <w:pPr>
        <w:pStyle w:val="NormalWeb"/>
        <w:spacing w:before="120" w:beforeAutospacing="0" w:after="120" w:afterAutospacing="0" w:line="276" w:lineRule="auto"/>
        <w:ind w:firstLine="567"/>
        <w:jc w:val="both"/>
        <w:rPr>
          <w:sz w:val="28"/>
          <w:szCs w:val="28"/>
        </w:rPr>
      </w:pPr>
      <w:r w:rsidRPr="00CF7A89">
        <w:rPr>
          <w:b/>
          <w:bCs/>
          <w:sz w:val="28"/>
          <w:szCs w:val="28"/>
          <w:lang w:val="vi-VN"/>
        </w:rPr>
        <w:t>Điều 2.</w:t>
      </w:r>
      <w:r w:rsidRPr="00CF7A89">
        <w:rPr>
          <w:sz w:val="28"/>
          <w:szCs w:val="28"/>
          <w:lang w:val="vi-VN"/>
        </w:rPr>
        <w:t xml:space="preserve"> </w:t>
      </w:r>
      <w:r w:rsidRPr="00CF7A89">
        <w:rPr>
          <w:b/>
          <w:sz w:val="28"/>
          <w:szCs w:val="28"/>
        </w:rPr>
        <w:t>Điều khoản thi hành</w:t>
      </w:r>
    </w:p>
    <w:p w:rsidR="00D46EA1" w:rsidRPr="00CF7A89" w:rsidRDefault="00D46EA1" w:rsidP="00811C85">
      <w:pPr>
        <w:pStyle w:val="NormalWeb"/>
        <w:spacing w:before="120" w:beforeAutospacing="0" w:after="120" w:afterAutospacing="0" w:line="276" w:lineRule="auto"/>
        <w:ind w:firstLine="567"/>
        <w:jc w:val="both"/>
        <w:rPr>
          <w:b/>
          <w:sz w:val="28"/>
          <w:szCs w:val="28"/>
        </w:rPr>
      </w:pPr>
      <w:r w:rsidRPr="00CF7A89">
        <w:rPr>
          <w:sz w:val="28"/>
          <w:szCs w:val="28"/>
          <w:lang w:val="vi-VN"/>
        </w:rPr>
        <w:t xml:space="preserve">Quyết định này có hiệu lực thi hành từ ngày </w:t>
      </w:r>
      <w:r w:rsidRPr="00CF7A89">
        <w:rPr>
          <w:sz w:val="28"/>
          <w:szCs w:val="28"/>
        </w:rPr>
        <w:t xml:space="preserve">   </w:t>
      </w:r>
      <w:r w:rsidRPr="00CF7A89">
        <w:rPr>
          <w:sz w:val="28"/>
          <w:szCs w:val="28"/>
          <w:lang w:val="vi-VN"/>
        </w:rPr>
        <w:t xml:space="preserve">tháng </w:t>
      </w:r>
      <w:r w:rsidRPr="00CF7A89">
        <w:rPr>
          <w:sz w:val="28"/>
          <w:szCs w:val="28"/>
        </w:rPr>
        <w:t xml:space="preserve">    </w:t>
      </w:r>
      <w:r w:rsidRPr="00CF7A89">
        <w:rPr>
          <w:sz w:val="28"/>
          <w:szCs w:val="28"/>
          <w:lang w:val="vi-VN"/>
        </w:rPr>
        <w:t xml:space="preserve"> năm 201</w:t>
      </w:r>
      <w:r w:rsidRPr="00CF7A89">
        <w:rPr>
          <w:sz w:val="28"/>
          <w:szCs w:val="28"/>
        </w:rPr>
        <w:t>8</w:t>
      </w:r>
      <w:r w:rsidRPr="00CF7A89">
        <w:rPr>
          <w:sz w:val="28"/>
          <w:szCs w:val="28"/>
          <w:lang w:val="vi-VN"/>
        </w:rPr>
        <w:t>.</w:t>
      </w:r>
    </w:p>
    <w:p w:rsidR="00D46EA1" w:rsidRPr="00D46EA1" w:rsidRDefault="00D46EA1" w:rsidP="00811C85">
      <w:pPr>
        <w:pStyle w:val="NormalWeb"/>
        <w:spacing w:before="120" w:beforeAutospacing="0" w:after="120" w:afterAutospacing="0" w:line="276" w:lineRule="auto"/>
        <w:ind w:firstLine="567"/>
        <w:jc w:val="both"/>
        <w:rPr>
          <w:b/>
          <w:color w:val="FF0000"/>
          <w:sz w:val="28"/>
          <w:szCs w:val="28"/>
        </w:rPr>
      </w:pPr>
      <w:r w:rsidRPr="00D46EA1">
        <w:rPr>
          <w:sz w:val="28"/>
          <w:szCs w:val="28"/>
          <w:lang w:val="vi-VN"/>
        </w:rPr>
        <w:t>Các Bộ trưởng, Thủ trưởng cơ quan ngang bộ, Thủ trưởng cơ quan thuộc Chính phủ, Chủ tịch Ủy ban nhân dân các tỉnh, thành phố trực thuộc trung ương chịu trách nhiệm thi hành Quyết định này./</w:t>
      </w:r>
      <w:r w:rsidRPr="00D46EA1">
        <w:rPr>
          <w:sz w:val="28"/>
          <w:szCs w:val="28"/>
        </w:rPr>
        <w:t>.</w:t>
      </w:r>
    </w:p>
    <w:p w:rsidR="00D46EA1" w:rsidRPr="00D46EA1" w:rsidRDefault="00D46EA1" w:rsidP="00D46EA1">
      <w:pPr>
        <w:pStyle w:val="NormalWeb"/>
        <w:spacing w:before="120" w:beforeAutospacing="0"/>
      </w:pPr>
      <w:r w:rsidRPr="00D46EA1">
        <w:t> </w:t>
      </w:r>
    </w:p>
    <w:tbl>
      <w:tblPr>
        <w:tblW w:w="0" w:type="auto"/>
        <w:tblCellMar>
          <w:left w:w="0" w:type="dxa"/>
          <w:right w:w="0" w:type="dxa"/>
        </w:tblCellMar>
        <w:tblLook w:val="04A0" w:firstRow="1" w:lastRow="0" w:firstColumn="1" w:lastColumn="0" w:noHBand="0" w:noVBand="1"/>
      </w:tblPr>
      <w:tblGrid>
        <w:gridCol w:w="4708"/>
        <w:gridCol w:w="4148"/>
      </w:tblGrid>
      <w:tr w:rsidR="00D46EA1" w:rsidRPr="00D46EA1" w:rsidTr="006020D2">
        <w:tc>
          <w:tcPr>
            <w:tcW w:w="4708" w:type="dxa"/>
            <w:tcMar>
              <w:top w:w="0" w:type="dxa"/>
              <w:left w:w="108" w:type="dxa"/>
              <w:bottom w:w="0" w:type="dxa"/>
              <w:right w:w="108" w:type="dxa"/>
            </w:tcMar>
            <w:hideMark/>
          </w:tcPr>
          <w:p w:rsidR="00D46EA1" w:rsidRPr="00D46EA1" w:rsidRDefault="00D46EA1" w:rsidP="006020D2">
            <w:pPr>
              <w:pStyle w:val="NormalWeb"/>
              <w:spacing w:before="120" w:beforeAutospacing="0"/>
            </w:pPr>
            <w:r w:rsidRPr="00D46EA1">
              <w:rPr>
                <w:b/>
                <w:bCs/>
                <w:i/>
                <w:iCs/>
              </w:rPr>
              <w:br/>
            </w:r>
            <w:r w:rsidRPr="00D46EA1">
              <w:rPr>
                <w:b/>
                <w:bCs/>
                <w:i/>
                <w:iCs/>
                <w:lang w:val="vi-VN"/>
              </w:rPr>
              <w:t>Nơi nhận:</w:t>
            </w:r>
            <w:r w:rsidRPr="00D46EA1">
              <w:rPr>
                <w:b/>
                <w:bCs/>
                <w:i/>
                <w:iCs/>
                <w:lang w:val="vi-VN"/>
              </w:rPr>
              <w:br/>
            </w:r>
            <w:r w:rsidRPr="00D46EA1">
              <w:rPr>
                <w:sz w:val="22"/>
                <w:szCs w:val="22"/>
                <w:lang w:val="vi-VN"/>
              </w:rPr>
              <w:t>- Ban Bí Thư Trung ương Đảng;</w:t>
            </w:r>
            <w:r w:rsidRPr="00D46EA1">
              <w:rPr>
                <w:sz w:val="22"/>
                <w:szCs w:val="22"/>
                <w:lang w:val="vi-VN"/>
              </w:rPr>
              <w:br/>
              <w:t>- Thủ tướng, các Phó Thủ tướng Chính phủ;</w:t>
            </w:r>
            <w:r w:rsidRPr="00D46EA1">
              <w:rPr>
                <w:sz w:val="22"/>
                <w:szCs w:val="22"/>
                <w:lang w:val="vi-VN"/>
              </w:rPr>
              <w:br/>
            </w:r>
            <w:r w:rsidRPr="00D46EA1">
              <w:rPr>
                <w:spacing w:val="-8"/>
                <w:sz w:val="22"/>
                <w:szCs w:val="22"/>
                <w:lang w:val="vi-VN"/>
              </w:rPr>
              <w:t xml:space="preserve">- Các bộ, cơ quan ngang bộ, cơ quan thuộc Chính </w:t>
            </w:r>
            <w:r w:rsidRPr="00D46EA1">
              <w:rPr>
                <w:spacing w:val="-8"/>
                <w:sz w:val="22"/>
                <w:szCs w:val="22"/>
              </w:rPr>
              <w:t>phủ;</w:t>
            </w:r>
            <w:r w:rsidRPr="00D46EA1">
              <w:rPr>
                <w:sz w:val="22"/>
                <w:szCs w:val="22"/>
                <w:lang w:val="vi-VN"/>
              </w:rPr>
              <w:br/>
              <w:t>- HĐND, UBND các tỉnh, thành phố trực thuộc trun</w:t>
            </w:r>
            <w:r w:rsidRPr="00D46EA1">
              <w:rPr>
                <w:sz w:val="22"/>
                <w:szCs w:val="22"/>
              </w:rPr>
              <w:t>g ương;</w:t>
            </w:r>
            <w:r w:rsidRPr="00D46EA1">
              <w:rPr>
                <w:sz w:val="22"/>
                <w:szCs w:val="22"/>
                <w:lang w:val="vi-VN"/>
              </w:rPr>
              <w:br/>
              <w:t>- Văn phòng Trung ương và các Ban của Đảng;</w:t>
            </w:r>
            <w:r w:rsidRPr="00D46EA1">
              <w:rPr>
                <w:sz w:val="22"/>
                <w:szCs w:val="22"/>
                <w:lang w:val="vi-VN"/>
              </w:rPr>
              <w:br/>
              <w:t>- Văn phòng Tổng Bí thư;</w:t>
            </w:r>
            <w:r w:rsidRPr="00D46EA1">
              <w:rPr>
                <w:sz w:val="22"/>
                <w:szCs w:val="22"/>
                <w:lang w:val="vi-VN"/>
              </w:rPr>
              <w:br/>
              <w:t>- Văn phòng Chủ tịch nước;</w:t>
            </w:r>
            <w:r w:rsidRPr="00D46EA1">
              <w:rPr>
                <w:sz w:val="22"/>
                <w:szCs w:val="22"/>
                <w:lang w:val="vi-VN"/>
              </w:rPr>
              <w:br/>
              <w:t>- Hội đồng dân tộc và các Ủy ban của Quốc hội</w:t>
            </w:r>
            <w:r w:rsidRPr="00D46EA1">
              <w:rPr>
                <w:sz w:val="22"/>
                <w:szCs w:val="22"/>
                <w:lang w:val="vi-VN"/>
              </w:rPr>
              <w:br/>
              <w:t>- Văn phòng Quốc hội;</w:t>
            </w:r>
            <w:r w:rsidRPr="00D46EA1">
              <w:rPr>
                <w:sz w:val="22"/>
                <w:szCs w:val="22"/>
                <w:lang w:val="vi-VN"/>
              </w:rPr>
              <w:br/>
              <w:t>- Tòa án nhân dân tối cao;</w:t>
            </w:r>
            <w:r w:rsidRPr="00D46EA1">
              <w:rPr>
                <w:sz w:val="22"/>
                <w:szCs w:val="22"/>
                <w:lang w:val="vi-VN"/>
              </w:rPr>
              <w:br/>
              <w:t>- Viện kiểm sát nhân dân tối cao;</w:t>
            </w:r>
            <w:r w:rsidRPr="00D46EA1">
              <w:rPr>
                <w:sz w:val="22"/>
                <w:szCs w:val="22"/>
                <w:lang w:val="vi-VN"/>
              </w:rPr>
              <w:br/>
              <w:t>- Ủy ban Giám sát tài chính quốc gia;</w:t>
            </w:r>
            <w:r w:rsidRPr="00D46EA1">
              <w:rPr>
                <w:sz w:val="22"/>
                <w:szCs w:val="22"/>
              </w:rPr>
              <w:br/>
            </w:r>
            <w:r w:rsidRPr="00D46EA1">
              <w:rPr>
                <w:sz w:val="22"/>
                <w:szCs w:val="22"/>
                <w:lang w:val="vi-VN"/>
              </w:rPr>
              <w:t>- Kiểm toán nhà nước;</w:t>
            </w:r>
            <w:r w:rsidRPr="00D46EA1">
              <w:rPr>
                <w:sz w:val="22"/>
                <w:szCs w:val="22"/>
                <w:lang w:val="vi-VN"/>
              </w:rPr>
              <w:br/>
              <w:t>- Ngân hàng Chính sách xã hội;</w:t>
            </w:r>
            <w:r w:rsidRPr="00D46EA1">
              <w:rPr>
                <w:sz w:val="22"/>
                <w:szCs w:val="22"/>
                <w:lang w:val="vi-VN"/>
              </w:rPr>
              <w:br/>
              <w:t>- Ngân hàng Phát triển Việt Nam;</w:t>
            </w:r>
            <w:r w:rsidRPr="00D46EA1">
              <w:rPr>
                <w:sz w:val="22"/>
                <w:szCs w:val="22"/>
                <w:lang w:val="vi-VN"/>
              </w:rPr>
              <w:br/>
              <w:t xml:space="preserve">- Ủy ban trung ương Mặt </w:t>
            </w:r>
            <w:r w:rsidRPr="00D46EA1">
              <w:rPr>
                <w:sz w:val="22"/>
                <w:szCs w:val="22"/>
              </w:rPr>
              <w:t>tr</w:t>
            </w:r>
            <w:r w:rsidRPr="00D46EA1">
              <w:rPr>
                <w:sz w:val="22"/>
                <w:szCs w:val="22"/>
                <w:lang w:val="vi-VN"/>
              </w:rPr>
              <w:t>ận Tổ quốc Việt Nam;</w:t>
            </w:r>
            <w:r w:rsidRPr="00D46EA1">
              <w:rPr>
                <w:sz w:val="22"/>
                <w:szCs w:val="22"/>
                <w:lang w:val="vi-VN"/>
              </w:rPr>
              <w:br/>
              <w:t>- Cơ quan trung ương của các đoàn thể;</w:t>
            </w:r>
            <w:r w:rsidRPr="00D46EA1">
              <w:rPr>
                <w:sz w:val="22"/>
                <w:szCs w:val="22"/>
                <w:lang w:val="vi-VN"/>
              </w:rPr>
              <w:br/>
              <w:t>- VPCP: BTCN, các PCN, Trợ l</w:t>
            </w:r>
            <w:r w:rsidRPr="00D46EA1">
              <w:rPr>
                <w:sz w:val="22"/>
                <w:szCs w:val="22"/>
              </w:rPr>
              <w:t>ý</w:t>
            </w:r>
            <w:r w:rsidRPr="00D46EA1">
              <w:rPr>
                <w:sz w:val="22"/>
                <w:szCs w:val="22"/>
                <w:lang w:val="vi-VN"/>
              </w:rPr>
              <w:t xml:space="preserve"> TTg, TGĐ cổng TTĐT, các Vụ, Cục, đơn vị tr</w:t>
            </w:r>
            <w:r w:rsidRPr="00D46EA1">
              <w:rPr>
                <w:sz w:val="22"/>
                <w:szCs w:val="22"/>
              </w:rPr>
              <w:t>ự</w:t>
            </w:r>
            <w:r w:rsidRPr="00D46EA1">
              <w:rPr>
                <w:sz w:val="22"/>
                <w:szCs w:val="22"/>
                <w:lang w:val="vi-VN"/>
              </w:rPr>
              <w:t>c thuộc, Công báo.</w:t>
            </w:r>
            <w:r w:rsidRPr="00D46EA1">
              <w:rPr>
                <w:sz w:val="22"/>
                <w:szCs w:val="22"/>
              </w:rPr>
              <w:br/>
            </w:r>
            <w:r w:rsidRPr="00D46EA1">
              <w:rPr>
                <w:sz w:val="22"/>
                <w:szCs w:val="22"/>
                <w:lang w:val="vi-VN"/>
              </w:rPr>
              <w:t xml:space="preserve">- </w:t>
            </w:r>
            <w:r w:rsidRPr="00D46EA1">
              <w:rPr>
                <w:color w:val="FF0000"/>
                <w:sz w:val="22"/>
                <w:szCs w:val="22"/>
                <w:lang w:val="vi-VN"/>
              </w:rPr>
              <w:t>Lưu: VT, NN (3).KN</w:t>
            </w:r>
          </w:p>
        </w:tc>
        <w:tc>
          <w:tcPr>
            <w:tcW w:w="4148" w:type="dxa"/>
            <w:tcMar>
              <w:top w:w="0" w:type="dxa"/>
              <w:left w:w="108" w:type="dxa"/>
              <w:bottom w:w="0" w:type="dxa"/>
              <w:right w:w="108" w:type="dxa"/>
            </w:tcMar>
            <w:hideMark/>
          </w:tcPr>
          <w:p w:rsidR="00D46EA1" w:rsidRPr="00D46EA1" w:rsidRDefault="00D46EA1" w:rsidP="006020D2">
            <w:pPr>
              <w:pStyle w:val="NormalWeb"/>
              <w:spacing w:before="120" w:beforeAutospacing="0"/>
              <w:jc w:val="center"/>
              <w:rPr>
                <w:b/>
                <w:bCs/>
                <w:sz w:val="28"/>
                <w:szCs w:val="28"/>
              </w:rPr>
            </w:pPr>
            <w:r w:rsidRPr="00D46EA1">
              <w:rPr>
                <w:b/>
                <w:bCs/>
                <w:sz w:val="28"/>
                <w:szCs w:val="28"/>
              </w:rPr>
              <w:t>THỦ TƯỚNG</w:t>
            </w:r>
            <w:r w:rsidRPr="00D46EA1">
              <w:rPr>
                <w:b/>
                <w:bCs/>
                <w:sz w:val="28"/>
                <w:szCs w:val="28"/>
              </w:rPr>
              <w:br/>
            </w:r>
            <w:r w:rsidRPr="00D46EA1">
              <w:rPr>
                <w:b/>
                <w:bCs/>
                <w:sz w:val="28"/>
                <w:szCs w:val="28"/>
              </w:rPr>
              <w:br/>
            </w:r>
            <w:r w:rsidRPr="00D46EA1">
              <w:rPr>
                <w:b/>
                <w:bCs/>
                <w:sz w:val="28"/>
                <w:szCs w:val="28"/>
              </w:rPr>
              <w:br/>
            </w:r>
            <w:r w:rsidRPr="00D46EA1">
              <w:rPr>
                <w:b/>
                <w:bCs/>
                <w:sz w:val="28"/>
                <w:szCs w:val="28"/>
              </w:rPr>
              <w:br/>
            </w:r>
            <w:r w:rsidRPr="00D46EA1">
              <w:rPr>
                <w:b/>
                <w:bCs/>
                <w:sz w:val="28"/>
                <w:szCs w:val="28"/>
              </w:rPr>
              <w:br/>
            </w:r>
          </w:p>
          <w:p w:rsidR="00D46EA1" w:rsidRPr="00D46EA1" w:rsidRDefault="00D46EA1" w:rsidP="006020D2">
            <w:pPr>
              <w:pStyle w:val="NormalWeb"/>
              <w:spacing w:before="120" w:beforeAutospacing="0"/>
              <w:jc w:val="center"/>
              <w:rPr>
                <w:sz w:val="28"/>
                <w:szCs w:val="28"/>
              </w:rPr>
            </w:pPr>
            <w:r w:rsidRPr="00D46EA1">
              <w:rPr>
                <w:b/>
                <w:bCs/>
                <w:sz w:val="28"/>
                <w:szCs w:val="28"/>
              </w:rPr>
              <w:br/>
              <w:t>Nguyễn Xuân Phúc</w:t>
            </w:r>
          </w:p>
        </w:tc>
      </w:tr>
    </w:tbl>
    <w:p w:rsidR="00D46EA1" w:rsidRPr="00D46EA1" w:rsidRDefault="00D46EA1" w:rsidP="00D46EA1">
      <w:pPr>
        <w:pStyle w:val="NormalWeb"/>
        <w:spacing w:before="120" w:beforeAutospacing="0"/>
      </w:pPr>
      <w:r w:rsidRPr="00D46EA1">
        <w:t> </w:t>
      </w:r>
    </w:p>
    <w:p w:rsidR="00D46EA1" w:rsidRPr="00D46EA1" w:rsidRDefault="00D46EA1" w:rsidP="00D46EA1">
      <w:pPr>
        <w:pStyle w:val="NormalWeb"/>
        <w:spacing w:before="120" w:beforeAutospacing="0"/>
      </w:pPr>
      <w:r w:rsidRPr="00D46EA1">
        <w:t> </w:t>
      </w:r>
    </w:p>
    <w:p w:rsidR="003766ED" w:rsidRPr="00D46EA1" w:rsidRDefault="006B5256">
      <w:pPr>
        <w:rPr>
          <w:rFonts w:ascii="Times New Roman" w:hAnsi="Times New Roman" w:cs="Times New Roman"/>
        </w:rPr>
      </w:pPr>
    </w:p>
    <w:sectPr w:rsidR="003766ED" w:rsidRPr="00D46EA1">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74"/>
    <w:rsid w:val="00051729"/>
    <w:rsid w:val="0005282A"/>
    <w:rsid w:val="00217B11"/>
    <w:rsid w:val="002C039F"/>
    <w:rsid w:val="00397B74"/>
    <w:rsid w:val="003A6BBA"/>
    <w:rsid w:val="004121DF"/>
    <w:rsid w:val="0043139F"/>
    <w:rsid w:val="0054123C"/>
    <w:rsid w:val="005F3C7A"/>
    <w:rsid w:val="006B5256"/>
    <w:rsid w:val="007018CE"/>
    <w:rsid w:val="007D0E3E"/>
    <w:rsid w:val="00811C85"/>
    <w:rsid w:val="009702E5"/>
    <w:rsid w:val="009847A9"/>
    <w:rsid w:val="009E2B54"/>
    <w:rsid w:val="00B266AE"/>
    <w:rsid w:val="00BD74E3"/>
    <w:rsid w:val="00C420D7"/>
    <w:rsid w:val="00CF7A89"/>
    <w:rsid w:val="00D4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70198-DFEA-4631-B71C-37636DAB16D0}"/>
</file>

<file path=customXml/itemProps2.xml><?xml version="1.0" encoding="utf-8"?>
<ds:datastoreItem xmlns:ds="http://schemas.openxmlformats.org/officeDocument/2006/customXml" ds:itemID="{7366B500-4F8F-403E-AA29-0652CF3E6B40}"/>
</file>

<file path=customXml/itemProps3.xml><?xml version="1.0" encoding="utf-8"?>
<ds:datastoreItem xmlns:ds="http://schemas.openxmlformats.org/officeDocument/2006/customXml" ds:itemID="{7D700DC4-F815-4E59-8DB4-765778D0F517}"/>
</file>

<file path=docProps/app.xml><?xml version="1.0" encoding="utf-8"?>
<Properties xmlns="http://schemas.openxmlformats.org/officeDocument/2006/extended-properties" xmlns:vt="http://schemas.openxmlformats.org/officeDocument/2006/docPropsVTypes">
  <Template>Normal</Template>
  <TotalTime>71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2018-04-27T08:58:00Z</cp:lastPrinted>
  <dcterms:created xsi:type="dcterms:W3CDTF">2018-04-09T08:16:00Z</dcterms:created>
  <dcterms:modified xsi:type="dcterms:W3CDTF">2018-05-03T07:54:00Z</dcterms:modified>
</cp:coreProperties>
</file>